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Gormley-Rahn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BOOST RUN,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REVERE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Boost Run Inc.</w:t>
              </w:r>
            </w:hyperlink>
            <w:r>
              <w:rPr/>
              <w:t xml:space="preserve"> [ </w:t>
            </w:r>
            <w:r>
              <w:rPr>
                <w:rFonts w:ascii="Times;serif" w:hAnsi="Times;serif"/>
                <w:color w:val="0000FF"/>
                <w:sz w:val="24"/>
                <w:shd w:fill="FFFFFF" w:val="clear"/>
              </w:rPr>
              <w:t>BRUN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2,278,257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05"/>
        <w:gridCol w:w="1222"/>
        <w:gridCol w:w="1124"/>
        <w:gridCol w:w="1295"/>
        <w:gridCol w:w="1140"/>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1,400,000</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Boost Run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29, 2026, the reporting person was granted 1,400,000 restricted stock units which will vest in nine substantially equal installments on each of on each of May 15, 2027, September 15, 2027, December 15, 2027, March 15, 2028, June 15, 2028, September 15, 2028, December 15, 2028, March 15, 2029, and June 15, 2029, in each case, subject to continuous service.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Gormley-Rahn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854" TargetMode="External"/><Relationship Id="rId3" Type="http://schemas.openxmlformats.org/officeDocument/2006/relationships/hyperlink" Target="http://www.sec.gov/cgi-bin/browse-edgar?action=getcompany&amp;CIK=0002090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492</Words>
  <Characters>2666</Characters>
  <CharactersWithSpaces>3102</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