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shd w:fill="FFFFFF" w:val="clear"/>
        </w:rPr>
      </w:pPr>
      <w:r>
        <w:rPr>
          <w:rFonts w:ascii="Times New Roman;Times;Serif" w:hAnsi="Times New Roman;Times;Serif"/>
          <w:b/>
          <w:i w:val="false"/>
          <w:caps w:val="false"/>
          <w:smallCaps w:val="false"/>
          <w:sz w:val="24"/>
          <w:shd w:fill="FFFFFF" w:val="clear"/>
        </w:rPr>
        <w:t>Washington, D.C. 20549</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 xml:space="preserve">FORM </w:t>
      </w:r>
      <w:bookmarkStart w:id="2" w:name="xdx_900_edei--DocumentType_c20260807__20"/>
      <w:bookmarkEnd w:id="2"/>
      <w:r>
        <w:rPr>
          <w:rFonts w:ascii="Times New Roman;Times;Serif" w:hAnsi="Times New Roman;Times;Serif"/>
          <w:b/>
          <w:i w:val="false"/>
          <w:caps w:val="false"/>
          <w:smallCaps w:val="false"/>
          <w:sz w:val="36"/>
          <w:shd w:fill="FFFFFF" w:val="clear"/>
        </w:rPr>
        <w:t>8-K</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CURRENT REPORT</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SECURITIES EXCHANGE ACT OF 1934</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shd w:fill="FFFFFF" w:val="clear"/>
        </w:rPr>
        <w:t>August 7, 2026</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bookmarkStart w:id="4" w:name="xdx_903_edei--EntityRegistrantName_c2026"/>
      <w:bookmarkEnd w:id="4"/>
      <w:r>
        <w:rPr>
          <w:rFonts w:ascii="Times New Roman;Times;Serif" w:hAnsi="Times New Roman;Times;Serif"/>
          <w:b/>
          <w:i w:val="false"/>
          <w:caps w:val="false"/>
          <w:smallCaps w:val="false"/>
          <w:sz w:val="36"/>
          <w:shd w:fill="FFFFFF" w:val="clear"/>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(Exact Name of Registrant as Specified in Its Charter)</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tbl>
      <w:tblPr>
        <w:tblW w:w="5490" w:type="dxa"/>
        <w:jc w:val="left"/>
        <w:tblInd w:w="0" w:type="dxa"/>
        <w:tblLayout w:type="fixed"/>
        <w:tblCellMar>
          <w:top w:w="0" w:type="dxa"/>
          <w:left w:w="0" w:type="dxa"/>
          <w:bottom w:w="0" w:type="dxa"/>
          <w:right w:w="0" w:type="dxa"/>
        </w:tblCellMar>
      </w:tblPr>
      <w:tblGrid>
        <w:gridCol w:w="2660"/>
        <w:gridCol w:w="60"/>
        <w:gridCol w:w="1145"/>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807"/>
            <w:bookmarkEnd w:id="6"/>
            <w:r>
              <w:rPr>
                <w:rFonts w:ascii="Times New Roman;Times;Serif" w:hAnsi="Times New Roman;Times;Serif"/>
                <w:b/>
                <w:i w:val="false"/>
                <w:caps w:val="false"/>
                <w:smallCaps w:val="false"/>
                <w:sz w:val="20"/>
              </w:rPr>
              <w:t>001-43277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39-4824850</w:t>
            </w:r>
          </w:p>
        </w:tc>
      </w:tr>
      <w:tr>
        <w:trPr/>
        <w:tc>
          <w:tcPr>
            <w:tcW w:w="26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8_edei--EntityAddressAddressLine1_"/>
      <w:bookmarkEnd w:id="8"/>
      <w:r>
        <w:rPr>
          <w:rFonts w:ascii="Times New Roman;Times;Serif" w:hAnsi="Times New Roman;Times;Serif"/>
          <w:b/>
          <w:i w:val="false"/>
          <w:caps w:val="false"/>
          <w:smallCaps w:val="false"/>
          <w:sz w:val="20"/>
          <w:shd w:fill="FFFFFF" w:val="clear"/>
        </w:rPr>
        <w:t xml:space="preserve">5 Revere Drive, </w:t>
      </w:r>
      <w:bookmarkStart w:id="9" w:name="xdx_90C_edei--EntityAddressAddressLine2_"/>
      <w:bookmarkEnd w:id="9"/>
      <w:r>
        <w:rPr>
          <w:rFonts w:ascii="Times New Roman;Times;Serif" w:hAnsi="Times New Roman;Times;Serif"/>
          <w:b/>
          <w:i w:val="false"/>
          <w:caps w:val="false"/>
          <w:smallCaps w:val="false"/>
          <w:sz w:val="20"/>
          <w:shd w:fill="FFFFFF" w:val="clear"/>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0" w:name="xdx_902_edei--EntityAddressCityOrTown_c2"/>
      <w:bookmarkEnd w:id="10"/>
      <w:r>
        <w:rPr>
          <w:rFonts w:ascii="Times New Roman;Times;Serif" w:hAnsi="Times New Roman;Times;Serif"/>
          <w:b/>
          <w:i w:val="false"/>
          <w:caps w:val="false"/>
          <w:smallCaps w:val="false"/>
          <w:sz w:val="20"/>
          <w:shd w:fill="FFFFFF" w:val="clear"/>
        </w:rPr>
        <w:t xml:space="preserve">Northbrook, </w:t>
      </w:r>
      <w:bookmarkStart w:id="11" w:name="xdx_908_edei--EntityAddressStateOrProvin"/>
      <w:bookmarkEnd w:id="11"/>
      <w:r>
        <w:rPr>
          <w:rFonts w:ascii="Times New Roman;Times;Serif" w:hAnsi="Times New Roman;Times;Serif"/>
          <w:b/>
          <w:i w:val="false"/>
          <w:caps w:val="false"/>
          <w:smallCaps w:val="false"/>
          <w:sz w:val="20"/>
          <w:shd w:fill="FFFFFF" w:val="clear"/>
        </w:rPr>
        <w:t xml:space="preserve">IL </w:t>
      </w:r>
      <w:bookmarkStart w:id="12" w:name="xdx_906_edei--EntityAddressPostalZipCode"/>
      <w:bookmarkEnd w:id="12"/>
      <w:r>
        <w:rPr>
          <w:rFonts w:ascii="Times New Roman;Times;Serif" w:hAnsi="Times New Roman;Times;Serif"/>
          <w:b/>
          <w:i w:val="false"/>
          <w:caps w:val="false"/>
          <w:smallCaps w:val="false"/>
          <w:sz w:val="20"/>
          <w:shd w:fill="FFFFFF" w:val="clear"/>
        </w:rPr>
        <w:t>60062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3" w:name="xdx_90B_edei--CityAreaCode_c20260807__20"/>
      <w:bookmarkEnd w:id="13"/>
      <w:r>
        <w:rPr>
          <w:rFonts w:ascii="Times New Roman;Times;Serif" w:hAnsi="Times New Roman;Times;Serif"/>
          <w:b/>
          <w:i w:val="false"/>
          <w:caps w:val="false"/>
          <w:smallCaps w:val="false"/>
          <w:sz w:val="20"/>
          <w:shd w:fill="FFFFFF" w:val="clear"/>
        </w:rPr>
        <w:t xml:space="preserve">(647) </w:t>
      </w:r>
      <w:bookmarkStart w:id="14" w:name="xdx_90F_edei--LocalPhoneNumber_c20260807"/>
      <w:bookmarkEnd w:id="14"/>
      <w:r>
        <w:rPr>
          <w:rFonts w:ascii="Times New Roman;Times;Serif" w:hAnsi="Times New Roman;Times;Serif"/>
          <w:b/>
          <w:i w:val="false"/>
          <w:caps w:val="false"/>
          <w:smallCaps w:val="false"/>
          <w:sz w:val="20"/>
          <w:shd w:fill="FFFFFF" w:val="clear"/>
        </w:rPr>
        <w:t>487-3367</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(Registrant’s telephone number, including area code)</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(Former name or former address, if changed since last report)</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28" w:type="dxa"/>
          <w:right w:w="0" w:type="dxa"/>
        </w:tblCellMar>
      </w:tblPr>
      <w:tblGrid>
        <w:gridCol w:w="6277"/>
        <w:gridCol w:w="60"/>
        <w:gridCol w:w="1253"/>
        <w:gridCol w:w="60"/>
        <w:gridCol w:w="2555"/>
      </w:tblGrid>
      <w:tr>
        <w:trPr/>
        <w:tc>
          <w:tcPr>
            <w:tcW w:w="627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807"/>
            <w:bookmarkEnd w:id="19"/>
            <w:r>
              <w:rPr>
                <w:rFonts w:ascii="Times New Roman;Times;Serif" w:hAnsi="Times New Roman;Times;Serif"/>
                <w:b w:val="false"/>
                <w:i w:val="false"/>
                <w:caps w:val="false"/>
                <w:smallCaps w:val="false"/>
                <w:sz w:val="20"/>
              </w:rPr>
              <w:t>Class A Common Stock, $0.0001 par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807__2"/>
            <w:bookmarkEnd w:id="20"/>
            <w:r>
              <w:rPr>
                <w:rFonts w:ascii="Times New Roman;Times;Serif" w:hAnsi="Times New Roman;Times;Serif"/>
                <w:b w:val="false"/>
                <w:i w:val="false"/>
                <w:caps w:val="false"/>
                <w:smallCaps w:val="false"/>
                <w:sz w:val="20"/>
              </w:rPr>
              <w:t>BRUN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12bTitle_c20260807"/>
            <w:bookmarkEnd w:id="22"/>
            <w:r>
              <w:rPr>
                <w:rFonts w:ascii="Times New Roman;Times;Serif" w:hAnsi="Times New Roman;Times;Serif"/>
                <w:b w:val="false"/>
                <w:i w:val="false"/>
                <w:caps w:val="false"/>
                <w:smallCaps w:val="false"/>
                <w:sz w:val="20"/>
              </w:rPr>
              <w:t>Warrants, each whole warrant is exercisable for one share of Class A Common Stock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60807__2"/>
            <w:bookmarkEnd w:id="23"/>
            <w:r>
              <w:rPr>
                <w:rFonts w:ascii="Times New Roman;Times;Serif" w:hAnsi="Times New Roman;Times;Serif"/>
                <w:b w:val="false"/>
                <w:i w:val="false"/>
                <w:caps w:val="false"/>
                <w:smallCaps w:val="false"/>
                <w:sz w:val="20"/>
              </w:rPr>
              <w:t>BRUNW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Boost Run Inc. (the “Company”) issued a press release regarding the Company hosting its conference call on August 14, 2026 at 8:00 a.m. (Eastern Time) to discuss financial results for the second quarter ended June 30, 2026. The press release also announced that the Company plans to release financial results for the second quarter ended June 30, 2026, pre-market on Friday, August 14, 2026. A copy of the press release is attached to this Form 8-K as Exhibit 99.1 and is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Form 8-K is being furnished and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 Financial Statements and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7,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760"/>
        <w:gridCol w:w="545"/>
        <w:gridCol w:w="189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244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Erik Guckel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top w:val="single" w:sz="8" w:space="0" w:color="000000"/>
            </w:tcBorders>
            <w:tcMar>
              <w:top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Announces Date of Second Quarter 2026 Financial Results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NORTHBROOK, Ill., Friday, August 7, 2026 (GLOBE NEWSWIRE)</w:t>
      </w:r>
      <w:r>
        <w:rPr>
          <w:rFonts w:ascii="Times New Roman;Times;Serif" w:hAnsi="Times New Roman;Times;Serif"/>
          <w:b w:val="false"/>
          <w:i w:val="false"/>
          <w:caps w:val="false"/>
          <w:smallCaps w:val="false"/>
          <w:sz w:val="20"/>
        </w:rPr>
        <w:t xml:space="preserve"> – Boost Run, Inc. (Nasdaq: BRUN), an NVIDIA Preferred Cloud Partner operating in adherence with NVIDIA Reference Architecture standards, plans to release its financial results for the second quarter ended June 30, 2026, pre-market on Friday, August 14, 2026. The company plans to host a conference call at 8:00 a.m. Eastern Time to discuss its second quarter 2026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press release highlighting the Company’s results along with supplemental financial results will be available at </w:t>
      </w:r>
      <w:r>
        <w:rPr>
          <w:rFonts w:ascii="Times New Roman;Times;Serif" w:hAnsi="Times New Roman;Times;Serif"/>
          <w:b w:val="false"/>
          <w:i w:val="false"/>
          <w:caps w:val="false"/>
          <w:smallCaps w:val="false"/>
          <w:sz w:val="20"/>
          <w:u w:val="single"/>
        </w:rPr>
        <w:t>https://investors.boostrun.com/</w:t>
      </w:r>
      <w:r>
        <w:rPr>
          <w:rFonts w:ascii="Times New Roman;Times;Serif" w:hAnsi="Times New Roman;Times;Serif"/>
          <w:b w:val="false"/>
          <w:i w:val="false"/>
          <w:caps w:val="false"/>
          <w:smallCaps w:val="false"/>
          <w:sz w:val="20"/>
        </w:rPr>
        <w:t xml:space="preserve">. An archived replay of the conference call will be available on this website for a limited time after the call. Participants who want to join the call and ask a question may register for the call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to receive the dial-in numbers and unique PIN.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Friday,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8:00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(live and replay)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Boost Run,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is an NVIDIA Preferred Cloud Provider that has also achieved NVIDIA Exemplar Cloud status on the NVIDIA Blackwell architecture. The Boost Run platform provides GPU compute, CPU nodes, managed Kubernetes orchestration, and shared storage through an intuitive management console and a robust API layer, enabling organizations to provision and scale resources across thousands of nodes in minutes. Enterprises rely on Boost Run to power their most demanding AI workloads with the performance, security, and reliability their operations require. Boost Run maintains SOC 2 Type II, HIPAA, ISO 27001, and ISO 27701 certifications at the operator level, and partners with data center facilities that uphold equivalent security and compliance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Boost Run’s contracted revenue, free cash flow expectations, anticipated annualized recurring revenue, infrastructure expansion plans, and business outlook. These forward-looking statements are based on current expectations and assumptions and involve known and unknown risks, uncertainties, and other factors that may cause actual results, performance, or achievements to differ materially from those expressed or implied by such statements. Such risks and uncertainties include, but are not limited to: (i) the Company’s ability to execute on contracted revenue; (ii) changes in customer demand or contract cancellations; (iii) supply chain disruptions, including GPU availability; (iv) the Company’s reliance on relationships with NVIDIA and other key partners; (v) general economic and market conditions, including interest rates and inflation; (vi) regulatory changes affecting the data center or AI industries; (vii) competition in the cloud infrastructure market; (viii) execution risks related to facility expansion and deployment; and (ix) other risks detailed in the Company’s filings with the Securities and Exchange Commission. Boost Run undertakes no obligation to update any forward-looking statements to reflect events or circumstances after the date hereof,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McCabe, Managing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Ly,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871-3938</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investors@boostrun.com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 489-3367</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press@boostrun.com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1089</Words>
  <Characters>6082</Characters>
  <CharactersWithSpaces>7176</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