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Guckel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BOOST RUN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Boost Run Inc.</w:t>
              </w:r>
            </w:hyperlink>
            <w:r>
              <w:rPr/>
              <w:t xml:space="preserve"> [ </w:t>
            </w:r>
            <w:r>
              <w:rPr>
                <w:rFonts w:ascii="Times;serif" w:hAnsi="Times;serif"/>
                <w:color w:val="0000FF"/>
                <w:sz w:val="24"/>
                <w:shd w:fill="FFFFFF" w:val="clear"/>
              </w:rPr>
              <w:t>BRUN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Boost Run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29, 2026, the reporting person was granted 2,890,000 restricted stock units, of which 40% will vest on May 15, 2027. The remaining 60% will vest in eight substantially equal installments on each of September 15, 2027, December 15, 2027, March 15, 2028, June 15, 2028, September 15, 2028, December 15, 2028, March 15, 2029, and June 15, 2029, in each case,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Erik Guckel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282" TargetMode="External"/><Relationship Id="rId5" Type="http://schemas.openxmlformats.org/officeDocument/2006/relationships/hyperlink" Target="http://www.sec.gov/cgi-bin/browse-edgar?action=getcompany&amp;CIK=00020906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3530</Characters>
  <CharactersWithSpaces>4117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