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Georgakopoulos Harilaos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BOOST RUN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 REVERE DRIVE,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NORTHBROOK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Boost Run Inc.</w:t>
              </w:r>
            </w:hyperlink>
            <w:r>
              <w:rPr/>
              <w:t xml:space="preserve"> [ </w:t>
            </w:r>
            <w:r>
              <w:rPr>
                <w:rFonts w:ascii="Times;serif" w:hAnsi="Times;serif"/>
                <w:color w:val="0000FF"/>
                <w:sz w:val="24"/>
                <w:shd w:fill="FFFFFF" w:val="clear"/>
              </w:rPr>
              <w:t>BRUN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common stock of Boost Run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September 29, 2026, the reporting person was granted 300,000 restricted stock units which will vest in substantially equal annual installments on each of the first three anniversaries of the September 29, 2026 Vesting Start Date, subject to continued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Harry Georgakopoulos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0097" TargetMode="External"/><Relationship Id="rId5" Type="http://schemas.openxmlformats.org/officeDocument/2006/relationships/hyperlink" Target="http://www.sec.gov/cgi-bin/browse-edgar?action=getcompany&amp;CIK=00020906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3436</Characters>
  <CharactersWithSpaces>3996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